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9E66" w14:textId="77777777" w:rsidR="00153D2C" w:rsidRPr="005D7D16" w:rsidRDefault="00153D2C" w:rsidP="005D7D16">
      <w:pPr>
        <w:spacing w:line="360" w:lineRule="auto"/>
        <w:ind w:firstLine="720"/>
        <w:jc w:val="center"/>
        <w:rPr>
          <w:rFonts w:ascii="Times New Roman" w:hAnsi="Times New Roman" w:cs="Times New Roman"/>
          <w:sz w:val="24"/>
          <w:szCs w:val="24"/>
        </w:rPr>
      </w:pPr>
    </w:p>
    <w:p w14:paraId="125F7F8B" w14:textId="77777777" w:rsidR="00153D2C" w:rsidRPr="005D7D16" w:rsidRDefault="00153D2C" w:rsidP="005D7D16">
      <w:pPr>
        <w:spacing w:line="360" w:lineRule="auto"/>
        <w:ind w:firstLine="720"/>
        <w:jc w:val="center"/>
        <w:rPr>
          <w:rFonts w:ascii="Times New Roman" w:hAnsi="Times New Roman" w:cs="Times New Roman"/>
          <w:sz w:val="24"/>
          <w:szCs w:val="24"/>
        </w:rPr>
      </w:pPr>
    </w:p>
    <w:p w14:paraId="1F2AC400" w14:textId="77777777" w:rsidR="00153D2C" w:rsidRPr="005D7D16" w:rsidRDefault="00153D2C" w:rsidP="005D7D16">
      <w:pPr>
        <w:spacing w:line="360" w:lineRule="auto"/>
        <w:ind w:firstLine="720"/>
        <w:jc w:val="center"/>
        <w:rPr>
          <w:rFonts w:ascii="Times New Roman" w:hAnsi="Times New Roman" w:cs="Times New Roman"/>
          <w:sz w:val="24"/>
          <w:szCs w:val="24"/>
        </w:rPr>
      </w:pPr>
    </w:p>
    <w:p w14:paraId="1DA94A8A" w14:textId="77777777" w:rsidR="00153D2C" w:rsidRPr="005D7D16" w:rsidRDefault="00153D2C" w:rsidP="005D7D16">
      <w:pPr>
        <w:spacing w:line="360" w:lineRule="auto"/>
        <w:ind w:firstLine="720"/>
        <w:jc w:val="center"/>
        <w:rPr>
          <w:rFonts w:ascii="Times New Roman" w:hAnsi="Times New Roman" w:cs="Times New Roman"/>
          <w:sz w:val="24"/>
          <w:szCs w:val="24"/>
        </w:rPr>
      </w:pPr>
    </w:p>
    <w:p w14:paraId="68B5ACA2" w14:textId="77777777" w:rsidR="00153D2C" w:rsidRPr="005D7D16" w:rsidRDefault="00153D2C" w:rsidP="005D7D16">
      <w:pPr>
        <w:spacing w:line="360" w:lineRule="auto"/>
        <w:ind w:firstLine="720"/>
        <w:jc w:val="center"/>
        <w:rPr>
          <w:rFonts w:ascii="Times New Roman" w:hAnsi="Times New Roman" w:cs="Times New Roman"/>
          <w:sz w:val="24"/>
          <w:szCs w:val="24"/>
        </w:rPr>
      </w:pPr>
    </w:p>
    <w:p w14:paraId="25D311AB" w14:textId="77777777" w:rsidR="00153D2C" w:rsidRPr="005D7D16" w:rsidRDefault="00153D2C" w:rsidP="005D7D16">
      <w:pPr>
        <w:spacing w:line="360" w:lineRule="auto"/>
        <w:ind w:firstLine="720"/>
        <w:jc w:val="center"/>
        <w:rPr>
          <w:rFonts w:ascii="Times New Roman" w:hAnsi="Times New Roman" w:cs="Times New Roman"/>
          <w:sz w:val="24"/>
          <w:szCs w:val="24"/>
        </w:rPr>
      </w:pPr>
    </w:p>
    <w:p w14:paraId="2778013F" w14:textId="1CACA217" w:rsidR="00153D2C" w:rsidRPr="005D7D16" w:rsidRDefault="001D67F3" w:rsidP="005D7D16">
      <w:pPr>
        <w:spacing w:line="360" w:lineRule="auto"/>
        <w:ind w:firstLine="720"/>
        <w:jc w:val="center"/>
        <w:rPr>
          <w:rFonts w:ascii="Times New Roman" w:hAnsi="Times New Roman" w:cs="Times New Roman"/>
          <w:sz w:val="24"/>
          <w:szCs w:val="24"/>
        </w:rPr>
      </w:pPr>
      <w:r w:rsidRPr="005D7D16">
        <w:rPr>
          <w:rFonts w:ascii="Times New Roman" w:hAnsi="Times New Roman" w:cs="Times New Roman"/>
          <w:sz w:val="24"/>
          <w:szCs w:val="24"/>
        </w:rPr>
        <w:t>Article summary</w:t>
      </w:r>
    </w:p>
    <w:p w14:paraId="4593EA51" w14:textId="77777777" w:rsidR="00153D2C" w:rsidRPr="005D7D16" w:rsidRDefault="001D67F3" w:rsidP="005D7D16">
      <w:pPr>
        <w:spacing w:line="360" w:lineRule="auto"/>
        <w:ind w:firstLine="720"/>
        <w:jc w:val="center"/>
        <w:rPr>
          <w:rFonts w:ascii="Times New Roman" w:hAnsi="Times New Roman" w:cs="Times New Roman"/>
          <w:sz w:val="24"/>
          <w:szCs w:val="24"/>
        </w:rPr>
      </w:pPr>
      <w:r w:rsidRPr="005D7D16">
        <w:rPr>
          <w:rFonts w:ascii="Times New Roman" w:hAnsi="Times New Roman" w:cs="Times New Roman"/>
          <w:sz w:val="24"/>
          <w:szCs w:val="24"/>
        </w:rPr>
        <w:t>Institutional affiliation</w:t>
      </w:r>
    </w:p>
    <w:p w14:paraId="00D2AF2D" w14:textId="35767BE3" w:rsidR="00153D2C" w:rsidRPr="005D7D16" w:rsidRDefault="001D67F3" w:rsidP="005D7D16">
      <w:pPr>
        <w:spacing w:line="360" w:lineRule="auto"/>
        <w:ind w:firstLine="720"/>
        <w:jc w:val="center"/>
        <w:rPr>
          <w:rFonts w:ascii="Times New Roman" w:hAnsi="Times New Roman" w:cs="Times New Roman"/>
          <w:sz w:val="24"/>
          <w:szCs w:val="24"/>
        </w:rPr>
      </w:pPr>
      <w:r w:rsidRPr="005D7D16">
        <w:rPr>
          <w:rFonts w:ascii="Times New Roman" w:hAnsi="Times New Roman" w:cs="Times New Roman"/>
          <w:sz w:val="24"/>
          <w:szCs w:val="24"/>
        </w:rPr>
        <w:t>Student’s name</w:t>
      </w:r>
    </w:p>
    <w:p w14:paraId="377242B9" w14:textId="1D7B94A6" w:rsidR="00153D2C" w:rsidRPr="005D7D16" w:rsidRDefault="001D67F3" w:rsidP="005D7D16">
      <w:pPr>
        <w:spacing w:line="360" w:lineRule="auto"/>
        <w:ind w:firstLine="720"/>
        <w:jc w:val="center"/>
        <w:rPr>
          <w:rFonts w:ascii="Times New Roman" w:hAnsi="Times New Roman" w:cs="Times New Roman"/>
          <w:sz w:val="24"/>
          <w:szCs w:val="24"/>
        </w:rPr>
      </w:pPr>
      <w:r w:rsidRPr="005D7D16">
        <w:rPr>
          <w:rFonts w:ascii="Times New Roman" w:hAnsi="Times New Roman" w:cs="Times New Roman"/>
          <w:sz w:val="24"/>
          <w:szCs w:val="24"/>
        </w:rPr>
        <w:t>Date</w:t>
      </w:r>
    </w:p>
    <w:p w14:paraId="75EC64CC" w14:textId="77777777" w:rsidR="00153D2C" w:rsidRPr="005D7D16" w:rsidRDefault="001D67F3" w:rsidP="005D7D16">
      <w:pPr>
        <w:spacing w:line="360" w:lineRule="auto"/>
        <w:rPr>
          <w:rFonts w:ascii="Times New Roman" w:hAnsi="Times New Roman" w:cs="Times New Roman"/>
          <w:b/>
          <w:bCs/>
          <w:sz w:val="24"/>
          <w:szCs w:val="24"/>
        </w:rPr>
      </w:pPr>
      <w:r w:rsidRPr="005D7D16">
        <w:rPr>
          <w:rFonts w:ascii="Times New Roman" w:hAnsi="Times New Roman" w:cs="Times New Roman"/>
          <w:b/>
          <w:bCs/>
          <w:sz w:val="24"/>
          <w:szCs w:val="24"/>
        </w:rPr>
        <w:br w:type="page"/>
      </w:r>
    </w:p>
    <w:p w14:paraId="57F877A5" w14:textId="77777777" w:rsidR="005D7D16" w:rsidRPr="005D7D16" w:rsidRDefault="005D7D16" w:rsidP="005D7D16">
      <w:pPr>
        <w:spacing w:line="360" w:lineRule="auto"/>
        <w:ind w:firstLine="720"/>
        <w:rPr>
          <w:rFonts w:ascii="Times New Roman" w:hAnsi="Times New Roman" w:cs="Times New Roman"/>
          <w:b/>
          <w:bCs/>
          <w:sz w:val="24"/>
          <w:szCs w:val="24"/>
        </w:rPr>
      </w:pPr>
      <w:r w:rsidRPr="005D7D16">
        <w:rPr>
          <w:rFonts w:ascii="Times New Roman" w:hAnsi="Times New Roman" w:cs="Times New Roman"/>
          <w:b/>
          <w:bCs/>
          <w:sz w:val="24"/>
          <w:szCs w:val="24"/>
        </w:rPr>
        <w:lastRenderedPageBreak/>
        <w:t xml:space="preserve">Abstract </w:t>
      </w:r>
    </w:p>
    <w:p w14:paraId="6F78480E"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 xml:space="preserve">This article addresses the teaching of legal research methods and doctrinal analysis within a legal studies program. It argues that learning about legal research and doctrinal analysis is an essential element of legal education outside professional law schools. It starts by considering the ongoing debate concerning the role of legal education both inside and outside professional law schools. (Al </w:t>
      </w:r>
      <w:proofErr w:type="spellStart"/>
      <w:r w:rsidRPr="005D7D16">
        <w:rPr>
          <w:rFonts w:ascii="Times New Roman" w:hAnsi="Times New Roman" w:cs="Times New Roman"/>
          <w:sz w:val="24"/>
          <w:szCs w:val="24"/>
        </w:rPr>
        <w:t>Amaren</w:t>
      </w:r>
      <w:proofErr w:type="spellEnd"/>
      <w:r w:rsidRPr="005D7D16">
        <w:rPr>
          <w:rFonts w:ascii="Times New Roman" w:hAnsi="Times New Roman" w:cs="Times New Roman"/>
          <w:sz w:val="24"/>
          <w:szCs w:val="24"/>
        </w:rPr>
        <w:t xml:space="preserve"> &amp; </w:t>
      </w:r>
      <w:proofErr w:type="spellStart"/>
      <w:r w:rsidRPr="005D7D16">
        <w:rPr>
          <w:rFonts w:ascii="Times New Roman" w:hAnsi="Times New Roman" w:cs="Times New Roman"/>
          <w:sz w:val="24"/>
          <w:szCs w:val="24"/>
        </w:rPr>
        <w:t>Indriyani</w:t>
      </w:r>
      <w:proofErr w:type="spellEnd"/>
      <w:r w:rsidRPr="005D7D16">
        <w:rPr>
          <w:rFonts w:ascii="Times New Roman" w:hAnsi="Times New Roman" w:cs="Times New Roman"/>
          <w:sz w:val="24"/>
          <w:szCs w:val="24"/>
        </w:rPr>
        <w:t>, 2019). Then it describes how the research methods course off erred by the Department of Law and Legal Studies at Carleton University attempt to reconcile the tension between law and legal studies.</w:t>
      </w:r>
    </w:p>
    <w:p w14:paraId="7212CC4E" w14:textId="4DEBF08E"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In particular, it focuses on how the second-year research methods course introduces students to traditional legal research and doctrinal analysis within a legal studies context by deploying some intellectual strategies. The system provides students with an essential foundation to embrace the multiple roles of legal education outside professional law schools. Keywords: teaching, pedagogy, doctrinal, undergraduate.</w:t>
      </w:r>
    </w:p>
    <w:p w14:paraId="5634C498" w14:textId="77777777" w:rsidR="005D7D16" w:rsidRPr="005D7D16" w:rsidRDefault="005D7D16" w:rsidP="005D7D16">
      <w:pPr>
        <w:spacing w:line="360" w:lineRule="auto"/>
        <w:ind w:firstLine="720"/>
        <w:rPr>
          <w:rFonts w:ascii="Times New Roman" w:hAnsi="Times New Roman" w:cs="Times New Roman"/>
          <w:b/>
          <w:bCs/>
          <w:sz w:val="24"/>
          <w:szCs w:val="24"/>
        </w:rPr>
      </w:pPr>
      <w:r w:rsidRPr="005D7D16">
        <w:rPr>
          <w:rFonts w:ascii="Times New Roman" w:hAnsi="Times New Roman" w:cs="Times New Roman"/>
          <w:b/>
          <w:bCs/>
          <w:sz w:val="24"/>
          <w:szCs w:val="24"/>
        </w:rPr>
        <w:t xml:space="preserve">Introduction </w:t>
      </w:r>
    </w:p>
    <w:p w14:paraId="312C3DE8"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This article discusses why and how learning about legal research, and doctrinal analysis can be essential for legal 1education outside professional law schools. It noted that at the outset that we are not advocating that legal studies programs should aspire to teach students "how to think like lawyers." Instead, we contend that it is legitimate and meaningful for a legal studies program to introduce students to engage them in "how lawyers think" or at least how they claim to think. There is hope that this article will spur further academic discussion of the different approaches to teaching that may be engaged within legal studies programs.</w:t>
      </w:r>
    </w:p>
    <w:p w14:paraId="4166E997" w14:textId="0A31BCFF"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 xml:space="preserve">We start by considering how the ongoing debate concerning the role of legal education inside and outside professional law schools has framed the role of undergraduate legal studies programs and, in turn, how it has generated a particularly negative conception of the role of doctrinal analysis within those programs in some quarters. It is argued that this negative conception is impoverished, as it fails to acknowledge that there can be multiple roles for legal studies programs. It identifies two roles: creating an environment for critical interdisciplinary engagement with the law and the legal and "demystifying the law" by educating students outside professional law schools about the law and how it works. </w:t>
      </w:r>
    </w:p>
    <w:p w14:paraId="69A3A413" w14:textId="77777777" w:rsidR="005D7D16" w:rsidRPr="005D7D16" w:rsidRDefault="005D7D16" w:rsidP="005D7D16">
      <w:pPr>
        <w:spacing w:line="360" w:lineRule="auto"/>
        <w:rPr>
          <w:rFonts w:ascii="Times New Roman" w:hAnsi="Times New Roman" w:cs="Times New Roman"/>
          <w:b/>
          <w:bCs/>
          <w:sz w:val="24"/>
          <w:szCs w:val="24"/>
        </w:rPr>
      </w:pPr>
      <w:r w:rsidRPr="005D7D16">
        <w:rPr>
          <w:rFonts w:ascii="Times New Roman" w:hAnsi="Times New Roman" w:cs="Times New Roman"/>
          <w:sz w:val="24"/>
          <w:szCs w:val="24"/>
        </w:rPr>
        <w:lastRenderedPageBreak/>
        <w:t xml:space="preserve"> </w:t>
      </w:r>
      <w:r w:rsidRPr="005D7D16">
        <w:rPr>
          <w:rFonts w:ascii="Times New Roman" w:hAnsi="Times New Roman" w:cs="Times New Roman"/>
          <w:sz w:val="24"/>
          <w:szCs w:val="24"/>
        </w:rPr>
        <w:tab/>
      </w:r>
      <w:r w:rsidRPr="005D7D16">
        <w:rPr>
          <w:rFonts w:ascii="Times New Roman" w:hAnsi="Times New Roman" w:cs="Times New Roman"/>
          <w:b/>
          <w:bCs/>
          <w:sz w:val="24"/>
          <w:szCs w:val="24"/>
        </w:rPr>
        <w:t xml:space="preserve">Context – legal education inside and outside the professional law school </w:t>
      </w:r>
    </w:p>
    <w:p w14:paraId="4A97CBB3"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An argument is made within the broader context of the debate about the role and structure of legal education in and out of professional law schools. According to Arthurs report 6, the overwhelming focus on doctrinal analysis in teaching and research in Canadian law school at the time was decried. Arthurs focused is most on interdisciplinary research employing social and scientific methods. In his report, he majorly talked about black letter law and how law remained dominant (</w:t>
      </w:r>
      <w:proofErr w:type="spellStart"/>
      <w:r w:rsidRPr="005D7D16">
        <w:rPr>
          <w:rFonts w:ascii="Times New Roman" w:eastAsia="Times New Roman" w:hAnsi="Times New Roman" w:cs="Times New Roman"/>
          <w:sz w:val="24"/>
          <w:szCs w:val="24"/>
        </w:rPr>
        <w:t>Kazmierski</w:t>
      </w:r>
      <w:proofErr w:type="spellEnd"/>
      <w:r w:rsidRPr="005D7D16">
        <w:rPr>
          <w:rFonts w:ascii="Times New Roman" w:hAnsi="Times New Roman" w:cs="Times New Roman"/>
          <w:sz w:val="24"/>
          <w:szCs w:val="24"/>
        </w:rPr>
        <w:t xml:space="preserve">, 297). </w:t>
      </w:r>
    </w:p>
    <w:p w14:paraId="636C3EB1" w14:textId="6C8F2553" w:rsidR="005D7D16" w:rsidRPr="005D7D16" w:rsidRDefault="005D7D16" w:rsidP="005D7D16">
      <w:pPr>
        <w:spacing w:line="360" w:lineRule="auto"/>
        <w:ind w:firstLine="720"/>
        <w:rPr>
          <w:rFonts w:ascii="Times New Roman" w:hAnsi="Times New Roman" w:cs="Times New Roman"/>
          <w:b/>
          <w:bCs/>
          <w:sz w:val="24"/>
          <w:szCs w:val="24"/>
        </w:rPr>
      </w:pPr>
      <w:r w:rsidRPr="005D7D16">
        <w:rPr>
          <w:rFonts w:ascii="Times New Roman" w:hAnsi="Times New Roman" w:cs="Times New Roman"/>
          <w:sz w:val="24"/>
          <w:szCs w:val="24"/>
        </w:rPr>
        <w:t>There were two significant roles for non-professional legal studies were identified. The first one was to create space for critical interdisciplinary engagement and disciplinary engagement with law and the legal, not as an autonomous body of rules, claims, or knowledge, but as an integrated part of our larger political, social, economic, and cultural structures. The second role is to teach non-lawyers about the law—in other words, to demystify the law to allow students to participate more fully in the creation and critique of legal rules as part of their democratic engagement as citizens (</w:t>
      </w:r>
      <w:proofErr w:type="spellStart"/>
      <w:r w:rsidRPr="005D7D16">
        <w:rPr>
          <w:rFonts w:ascii="Times New Roman" w:hAnsi="Times New Roman" w:cs="Times New Roman"/>
          <w:sz w:val="24"/>
          <w:szCs w:val="24"/>
        </w:rPr>
        <w:t>Kazmierski</w:t>
      </w:r>
      <w:proofErr w:type="spellEnd"/>
      <w:r w:rsidRPr="005D7D16">
        <w:rPr>
          <w:rFonts w:ascii="Times New Roman" w:eastAsia="Times New Roman" w:hAnsi="Times New Roman" w:cs="Times New Roman"/>
          <w:sz w:val="24"/>
          <w:szCs w:val="24"/>
        </w:rPr>
        <w:t>, 297</w:t>
      </w:r>
      <w:r w:rsidRPr="005D7D16">
        <w:rPr>
          <w:rFonts w:ascii="Times New Roman" w:hAnsi="Times New Roman" w:cs="Times New Roman"/>
          <w:sz w:val="24"/>
          <w:szCs w:val="24"/>
        </w:rPr>
        <w:t>).</w:t>
      </w:r>
    </w:p>
    <w:p w14:paraId="4AADF473" w14:textId="77777777" w:rsidR="005D7D16" w:rsidRPr="005D7D16" w:rsidRDefault="005D7D16" w:rsidP="005D7D16">
      <w:pPr>
        <w:spacing w:line="360" w:lineRule="auto"/>
        <w:ind w:firstLine="720"/>
        <w:rPr>
          <w:rFonts w:ascii="Times New Roman" w:hAnsi="Times New Roman" w:cs="Times New Roman"/>
          <w:b/>
          <w:bCs/>
          <w:sz w:val="24"/>
          <w:szCs w:val="24"/>
        </w:rPr>
      </w:pPr>
      <w:r w:rsidRPr="005D7D16">
        <w:rPr>
          <w:rFonts w:ascii="Times New Roman" w:hAnsi="Times New Roman" w:cs="Times New Roman"/>
          <w:b/>
          <w:bCs/>
          <w:sz w:val="24"/>
          <w:szCs w:val="24"/>
        </w:rPr>
        <w:t>III. Reconciling “Law” with Legal Studies—Teaching Research Methods at Carleton University.</w:t>
      </w:r>
    </w:p>
    <w:p w14:paraId="189B0390"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Teaching students about research approaches is always challenging. Students often resent the requirement to take courses focused on "methodology" instead of substantive subjects, and many professors are reluctant to teach these courses. The task is perhaps even more challenging in interdisciplinary programs than in traditional disciplines because the research methodologies applied and viewed as legitimate within interdisciplinary programs are often more diverse than those involved in conventional fields. At the same time, teaching students how to conduct research is at the heart of the academic project. Doing so presents an unparalleled opportunity to open their minds to various approaches to collecting information and acquiring new knowledge (</w:t>
      </w:r>
      <w:proofErr w:type="spellStart"/>
      <w:r w:rsidRPr="005D7D16">
        <w:rPr>
          <w:rFonts w:ascii="Times New Roman" w:hAnsi="Times New Roman" w:cs="Times New Roman"/>
          <w:sz w:val="24"/>
          <w:szCs w:val="24"/>
        </w:rPr>
        <w:t>Kazmierski</w:t>
      </w:r>
      <w:proofErr w:type="spellEnd"/>
      <w:r w:rsidRPr="005D7D16">
        <w:rPr>
          <w:rFonts w:ascii="Times New Roman" w:eastAsia="Times New Roman" w:hAnsi="Times New Roman" w:cs="Times New Roman"/>
          <w:sz w:val="24"/>
          <w:szCs w:val="24"/>
        </w:rPr>
        <w:t>, 297</w:t>
      </w:r>
      <w:r w:rsidRPr="005D7D16">
        <w:rPr>
          <w:rFonts w:ascii="Times New Roman" w:hAnsi="Times New Roman" w:cs="Times New Roman"/>
          <w:sz w:val="24"/>
          <w:szCs w:val="24"/>
        </w:rPr>
        <w:t>).</w:t>
      </w:r>
    </w:p>
    <w:p w14:paraId="2DC5F1E4"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 xml:space="preserve">In acknowledgment of the importance of providing students with a strong foundation in a wide range of research skills, the Department of Law and Legal Studies at Carleton University offers two stand-alone courses dedicated to teaching research methods. The first course, </w:t>
      </w:r>
      <w:r w:rsidRPr="005D7D16">
        <w:rPr>
          <w:rFonts w:ascii="Times New Roman" w:hAnsi="Times New Roman" w:cs="Times New Roman"/>
          <w:sz w:val="24"/>
          <w:szCs w:val="24"/>
        </w:rPr>
        <w:lastRenderedPageBreak/>
        <w:t>Approaches in Legal Studies, is provided in the second year and is required for general BA and the Honor’s BA programs</w:t>
      </w:r>
      <w:r w:rsidRPr="005D7D16">
        <w:rPr>
          <w:rFonts w:ascii="Times New Roman" w:hAnsi="Times New Roman" w:cs="Times New Roman"/>
          <w:sz w:val="24"/>
          <w:szCs w:val="24"/>
        </w:rPr>
        <w:t>.</w:t>
      </w:r>
    </w:p>
    <w:p w14:paraId="33D16C52"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LAWS 3908 is designed so that individual faculty members can take an issue area in which they are conducting research and use their approach as a starting point for discussing several different approaches to considering the issue area within a legal studies context. While part of the mandate of LAWS 2908 is to provide students with an introduction to several approaches to research in legal studies, LAWS 3908 is meant to provide a more in-depth treatment of several of these approaches.</w:t>
      </w:r>
    </w:p>
    <w:p w14:paraId="38665D91" w14:textId="5738A9A8"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The approach taken at Carleton is just one example, from a wide range of courses taken in Canada to teaching research methods in undergraduate programs in legal studies or related fields. 19 Some programs, for example, have only one required research methods course conducted within the program.</w:t>
      </w:r>
    </w:p>
    <w:p w14:paraId="4A205F9D" w14:textId="77777777" w:rsidR="005D7D16" w:rsidRPr="005D7D16" w:rsidRDefault="005D7D16" w:rsidP="005D7D16">
      <w:pPr>
        <w:spacing w:line="360" w:lineRule="auto"/>
        <w:ind w:firstLine="720"/>
        <w:rPr>
          <w:rFonts w:ascii="Times New Roman" w:hAnsi="Times New Roman" w:cs="Times New Roman"/>
          <w:b/>
          <w:bCs/>
          <w:sz w:val="24"/>
          <w:szCs w:val="24"/>
        </w:rPr>
      </w:pPr>
      <w:r w:rsidRPr="005D7D16">
        <w:rPr>
          <w:rFonts w:ascii="Times New Roman" w:hAnsi="Times New Roman" w:cs="Times New Roman"/>
          <w:b/>
          <w:bCs/>
          <w:sz w:val="24"/>
          <w:szCs w:val="24"/>
        </w:rPr>
        <w:t xml:space="preserve">Course theme </w:t>
      </w:r>
    </w:p>
    <w:p w14:paraId="6621702C"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The course theme for the current iteration of the course is "the role of the state in regulating marriage." In particular, we have focused on same-sex marriage within our lectures and tutorials. However, we rotated the focus of our assignments among topics related to same-sex marriage, the criminalization of polygamy, and the legal distinction between common-law relationships and marriage in different semesters. It addresses how the course theme is engaged in more detail below (Mohammad</w:t>
      </w:r>
      <w:r w:rsidRPr="005D7D16">
        <w:rPr>
          <w:rFonts w:ascii="Times New Roman" w:hAnsi="Times New Roman" w:cs="Times New Roman"/>
          <w:sz w:val="24"/>
          <w:szCs w:val="24"/>
          <w:shd w:val="clear" w:color="auto" w:fill="FFFFFF"/>
        </w:rPr>
        <w:t xml:space="preserve"> et al.,55</w:t>
      </w:r>
      <w:r w:rsidRPr="005D7D16">
        <w:rPr>
          <w:rFonts w:ascii="Times New Roman" w:hAnsi="Times New Roman" w:cs="Times New Roman"/>
          <w:sz w:val="24"/>
          <w:szCs w:val="24"/>
        </w:rPr>
        <w:t>).</w:t>
      </w:r>
    </w:p>
    <w:p w14:paraId="044341F4"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The general research question we use to frame our course asks: How have judicial decisions striking down the common law prohibition against same-sex marriage stated or influenced the changing attitudes of Canadian politicians and the broader public about same-sex marriage? This question allows us to consider the more general topic of the relationship between law and social change while considering the vast array of legal sources we want to engage, including cases, legislation, parliamentary debates, government documents, and secondary sources.</w:t>
      </w:r>
    </w:p>
    <w:p w14:paraId="4B782675"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 xml:space="preserve">The general research question we use to frame our course asks: How have judicial decisions striking down the common law prohibition against same-sex marriage prepared or influenced the changing attitudes of Canadian politicians and the broader public about same-sex </w:t>
      </w:r>
      <w:r w:rsidRPr="005D7D16">
        <w:rPr>
          <w:rFonts w:ascii="Times New Roman" w:hAnsi="Times New Roman" w:cs="Times New Roman"/>
          <w:sz w:val="24"/>
          <w:szCs w:val="24"/>
        </w:rPr>
        <w:lastRenderedPageBreak/>
        <w:t>marriage? This question allows us to consider the more overall topic of the relationship between law and social change while also considering the vast array of legal sources we want to engage, which includes cases, legislation, parliamentary debates, government documents, and secondary sources—introduction of theory as a vital component of the research process. In particular, we introduce students to how different theoretical frameworks and research methodologies may be applied to study the same issue or phenomenon (Mohammad</w:t>
      </w:r>
      <w:r w:rsidRPr="005D7D16">
        <w:rPr>
          <w:rFonts w:ascii="Times New Roman" w:hAnsi="Times New Roman" w:cs="Times New Roman"/>
          <w:sz w:val="24"/>
          <w:szCs w:val="24"/>
          <w:shd w:val="clear" w:color="auto" w:fill="FFFFFF"/>
        </w:rPr>
        <w:t xml:space="preserve"> et al. 54)</w:t>
      </w:r>
      <w:r w:rsidRPr="005D7D16">
        <w:rPr>
          <w:rFonts w:ascii="Times New Roman" w:hAnsi="Times New Roman" w:cs="Times New Roman"/>
          <w:sz w:val="24"/>
          <w:szCs w:val="24"/>
        </w:rPr>
        <w:t xml:space="preserve">. </w:t>
      </w:r>
    </w:p>
    <w:p w14:paraId="5FBDD039"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In tutorials, students are then introduced to an article that critiques the consultation process leading up to enacting two crucial pieces of legislation: the Modernization of Benefits and Obligations Act 29 and the Civil Marriage Act. 30 The article, by Claire Young and Susan Boyd, provides a feminist critique of the movement towards same-sex marriage based on content analysis of contributions by individuals and advocacy groups to the parliamentary committee hearings concerning these two acts. 31 In particular, Young and Boyd argue that the submissions to the committee hearings reflect how the debate operated to reinforce conservative and heteronormative discourses on marriage and family—at the same time, rendering invisible important feminist critiques of marriage, familial ideology, and the domestication of lesbian and gay relationships (</w:t>
      </w:r>
      <w:r w:rsidRPr="005D7D16">
        <w:rPr>
          <w:rFonts w:ascii="Times New Roman" w:hAnsi="Times New Roman" w:cs="Times New Roman"/>
          <w:sz w:val="24"/>
          <w:szCs w:val="24"/>
          <w:shd w:val="clear" w:color="auto" w:fill="FFFFFF"/>
        </w:rPr>
        <w:t>Mohammad et al. 50</w:t>
      </w:r>
      <w:r w:rsidRPr="005D7D16">
        <w:rPr>
          <w:rFonts w:ascii="Times New Roman" w:hAnsi="Times New Roman" w:cs="Times New Roman"/>
          <w:sz w:val="24"/>
          <w:szCs w:val="24"/>
        </w:rPr>
        <w:t>)</w:t>
      </w:r>
      <w:r w:rsidRPr="005D7D16">
        <w:rPr>
          <w:rFonts w:ascii="Times New Roman" w:hAnsi="Times New Roman" w:cs="Times New Roman"/>
          <w:sz w:val="24"/>
          <w:szCs w:val="24"/>
        </w:rPr>
        <w:t>.</w:t>
      </w:r>
    </w:p>
    <w:p w14:paraId="615C857A" w14:textId="77777777"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While the Arthurs Report posited that the solution to the problem identified was to apply interdisciplinary approaches within the law school walls, a prescription is to use elements of the law school within the walls of the arts and social science faculties. 39 In particular, it argues that the teaching of legal research and doctrinal analysis has a meaningful role within a legal studies program (</w:t>
      </w:r>
      <w:proofErr w:type="spellStart"/>
      <w:r w:rsidRPr="005D7D16">
        <w:rPr>
          <w:rFonts w:ascii="Times New Roman" w:hAnsi="Times New Roman" w:cs="Times New Roman"/>
          <w:sz w:val="24"/>
          <w:szCs w:val="24"/>
          <w:shd w:val="clear" w:color="auto" w:fill="FFFFFF"/>
        </w:rPr>
        <w:t>Amaren</w:t>
      </w:r>
      <w:proofErr w:type="spellEnd"/>
      <w:r w:rsidRPr="005D7D16">
        <w:rPr>
          <w:rFonts w:ascii="Times New Roman" w:hAnsi="Times New Roman" w:cs="Times New Roman"/>
          <w:sz w:val="24"/>
          <w:szCs w:val="24"/>
          <w:shd w:val="clear" w:color="auto" w:fill="FFFFFF"/>
        </w:rPr>
        <w:t xml:space="preserve"> et al.,54</w:t>
      </w:r>
      <w:r w:rsidRPr="005D7D16">
        <w:rPr>
          <w:rFonts w:ascii="Times New Roman" w:hAnsi="Times New Roman" w:cs="Times New Roman"/>
          <w:sz w:val="24"/>
          <w:szCs w:val="24"/>
        </w:rPr>
        <w:t xml:space="preserve">). </w:t>
      </w:r>
    </w:p>
    <w:p w14:paraId="367851CC" w14:textId="20F7E6C3" w:rsidR="005D7D16" w:rsidRPr="005D7D16" w:rsidRDefault="005D7D16" w:rsidP="005D7D16">
      <w:pPr>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t xml:space="preserve">As law societies exert more significant pressure on professional law schools to focus their work on preparing students to become lawyers, the role of legal studies programs in offering an alternative path in education, rather than simply training in law, takes on added importance. Therefore, a clarion call for more or even some emphasis on legal research and doctrinal analysis in legal studies programs may seem particularly ill-timed. To be sure, teaching legal research and doctrinal analysis within a legal studies framework risks the colonizing effect of doctrinal approaches to law. </w:t>
      </w:r>
      <w:r w:rsidRPr="005D7D16">
        <w:rPr>
          <w:rFonts w:ascii="Times New Roman" w:hAnsi="Times New Roman" w:cs="Times New Roman"/>
          <w:sz w:val="24"/>
          <w:szCs w:val="24"/>
        </w:rPr>
        <w:t>However, this</w:t>
      </w:r>
      <w:r w:rsidRPr="005D7D16">
        <w:rPr>
          <w:rFonts w:ascii="Times New Roman" w:hAnsi="Times New Roman" w:cs="Times New Roman"/>
          <w:sz w:val="24"/>
          <w:szCs w:val="24"/>
        </w:rPr>
        <w:t xml:space="preserve"> colonizing effect can be minimized by deploying intellectual strategies such as those employed in the second-year research methods course taught in the </w:t>
      </w:r>
      <w:r w:rsidRPr="005D7D16">
        <w:rPr>
          <w:rFonts w:ascii="Times New Roman" w:hAnsi="Times New Roman" w:cs="Times New Roman"/>
          <w:sz w:val="24"/>
          <w:szCs w:val="24"/>
        </w:rPr>
        <w:lastRenderedPageBreak/>
        <w:t>Department of Law and Legal Studies at Carleton University. By deploying these and similar strategies.</w:t>
      </w:r>
    </w:p>
    <w:p w14:paraId="05D33A74" w14:textId="13762FDD" w:rsidR="00943FCF" w:rsidRPr="005D7D16" w:rsidRDefault="00943FCF" w:rsidP="005D7D16">
      <w:pPr>
        <w:tabs>
          <w:tab w:val="center" w:pos="4680"/>
        </w:tabs>
        <w:spacing w:line="360" w:lineRule="auto"/>
        <w:ind w:firstLine="720"/>
        <w:rPr>
          <w:rFonts w:ascii="Times New Roman" w:hAnsi="Times New Roman" w:cs="Times New Roman"/>
          <w:sz w:val="24"/>
          <w:szCs w:val="24"/>
        </w:rPr>
      </w:pPr>
    </w:p>
    <w:p w14:paraId="0D9FAB8D" w14:textId="77777777" w:rsidR="00153D2C" w:rsidRPr="005D7D16" w:rsidRDefault="001D67F3" w:rsidP="005D7D16">
      <w:pPr>
        <w:spacing w:line="360" w:lineRule="auto"/>
        <w:rPr>
          <w:rFonts w:ascii="Times New Roman" w:hAnsi="Times New Roman" w:cs="Times New Roman"/>
          <w:sz w:val="24"/>
          <w:szCs w:val="24"/>
        </w:rPr>
      </w:pPr>
      <w:r w:rsidRPr="005D7D16">
        <w:rPr>
          <w:rFonts w:ascii="Times New Roman" w:hAnsi="Times New Roman" w:cs="Times New Roman"/>
          <w:sz w:val="24"/>
          <w:szCs w:val="24"/>
        </w:rPr>
        <w:br w:type="page"/>
      </w:r>
    </w:p>
    <w:p w14:paraId="3816F2D7" w14:textId="7CEA6790" w:rsidR="00943FCF" w:rsidRPr="005D7D16" w:rsidRDefault="001D67F3" w:rsidP="005D7D16">
      <w:pPr>
        <w:tabs>
          <w:tab w:val="center" w:pos="4680"/>
        </w:tabs>
        <w:spacing w:line="360" w:lineRule="auto"/>
        <w:ind w:firstLine="720"/>
        <w:rPr>
          <w:rFonts w:ascii="Times New Roman" w:hAnsi="Times New Roman" w:cs="Times New Roman"/>
          <w:sz w:val="24"/>
          <w:szCs w:val="24"/>
        </w:rPr>
      </w:pPr>
      <w:r w:rsidRPr="005D7D16">
        <w:rPr>
          <w:rFonts w:ascii="Times New Roman" w:hAnsi="Times New Roman" w:cs="Times New Roman"/>
          <w:sz w:val="24"/>
          <w:szCs w:val="24"/>
        </w:rPr>
        <w:lastRenderedPageBreak/>
        <w:t xml:space="preserve">References </w:t>
      </w:r>
    </w:p>
    <w:p w14:paraId="344F7875" w14:textId="77777777" w:rsidR="00153D2C" w:rsidRPr="005D7D16" w:rsidRDefault="001D67F3" w:rsidP="005D7D16">
      <w:pPr>
        <w:spacing w:after="0" w:line="360" w:lineRule="auto"/>
        <w:ind w:left="720" w:hanging="720"/>
        <w:rPr>
          <w:rFonts w:ascii="Times New Roman" w:eastAsia="Times New Roman" w:hAnsi="Times New Roman" w:cs="Times New Roman"/>
          <w:sz w:val="24"/>
          <w:szCs w:val="24"/>
        </w:rPr>
      </w:pPr>
      <w:r w:rsidRPr="005D7D16">
        <w:rPr>
          <w:rFonts w:ascii="Times New Roman" w:hAnsi="Times New Roman" w:cs="Times New Roman"/>
          <w:sz w:val="24"/>
          <w:szCs w:val="24"/>
          <w:shd w:val="clear" w:color="auto" w:fill="FFFFFF"/>
        </w:rPr>
        <w:t>Al Amaren, Emad Mohammad, et al. "An introduction to the legal research method: To clear the blurred image on how stud</w:t>
      </w:r>
      <w:r w:rsidRPr="005D7D16">
        <w:rPr>
          <w:rFonts w:ascii="Times New Roman" w:hAnsi="Times New Roman" w:cs="Times New Roman"/>
          <w:sz w:val="24"/>
          <w:szCs w:val="24"/>
          <w:shd w:val="clear" w:color="auto" w:fill="FFFFFF"/>
        </w:rPr>
        <w:t>ents understand the method of the legal science research." </w:t>
      </w:r>
      <w:r w:rsidRPr="005D7D16">
        <w:rPr>
          <w:rFonts w:ascii="Times New Roman" w:hAnsi="Times New Roman" w:cs="Times New Roman"/>
          <w:i/>
          <w:iCs/>
          <w:sz w:val="24"/>
          <w:szCs w:val="24"/>
          <w:shd w:val="clear" w:color="auto" w:fill="FFFFFF"/>
        </w:rPr>
        <w:t>International Journal of Multidisciplinary Sciences and Advanced Technology</w:t>
      </w:r>
      <w:r w:rsidRPr="005D7D16">
        <w:rPr>
          <w:rFonts w:ascii="Times New Roman" w:hAnsi="Times New Roman" w:cs="Times New Roman"/>
          <w:sz w:val="24"/>
          <w:szCs w:val="24"/>
          <w:shd w:val="clear" w:color="auto" w:fill="FFFFFF"/>
        </w:rPr>
        <w:t> 1.9 (2020): 50-55</w:t>
      </w:r>
    </w:p>
    <w:p w14:paraId="67CCE6DC" w14:textId="77777777" w:rsidR="00153D2C" w:rsidRPr="005D7D16" w:rsidRDefault="001D67F3" w:rsidP="005D7D16">
      <w:pPr>
        <w:spacing w:after="0" w:line="360" w:lineRule="auto"/>
        <w:ind w:left="720" w:hanging="720"/>
        <w:rPr>
          <w:rFonts w:ascii="Times New Roman" w:eastAsia="Times New Roman" w:hAnsi="Times New Roman" w:cs="Times New Roman"/>
          <w:sz w:val="24"/>
          <w:szCs w:val="24"/>
        </w:rPr>
      </w:pPr>
      <w:r w:rsidRPr="005D7D16">
        <w:rPr>
          <w:rFonts w:ascii="Times New Roman" w:eastAsia="Times New Roman" w:hAnsi="Times New Roman" w:cs="Times New Roman"/>
          <w:sz w:val="24"/>
          <w:szCs w:val="24"/>
        </w:rPr>
        <w:t xml:space="preserve">Kazmierski, Vincent. "How much “law” in Legal Studies? Approaches to teaching legal research and </w:t>
      </w:r>
      <w:r w:rsidRPr="005D7D16">
        <w:rPr>
          <w:rFonts w:ascii="Times New Roman" w:eastAsia="Times New Roman" w:hAnsi="Times New Roman" w:cs="Times New Roman"/>
          <w:sz w:val="24"/>
          <w:szCs w:val="24"/>
        </w:rPr>
        <w:t>doctrinal analysis in a Legal Studies program." </w:t>
      </w:r>
      <w:r w:rsidRPr="005D7D16">
        <w:rPr>
          <w:rFonts w:ascii="Times New Roman" w:eastAsia="Times New Roman" w:hAnsi="Times New Roman" w:cs="Times New Roman"/>
          <w:i/>
          <w:iCs/>
          <w:sz w:val="24"/>
          <w:szCs w:val="24"/>
        </w:rPr>
        <w:t>Canadian Journal of Law and Society/La Revue Canadienne Droit et Société</w:t>
      </w:r>
      <w:r w:rsidRPr="005D7D16">
        <w:rPr>
          <w:rFonts w:ascii="Times New Roman" w:eastAsia="Times New Roman" w:hAnsi="Times New Roman" w:cs="Times New Roman"/>
          <w:sz w:val="24"/>
          <w:szCs w:val="24"/>
        </w:rPr>
        <w:t> 29.3 (2014): 297-310.</w:t>
      </w:r>
    </w:p>
    <w:p w14:paraId="3AC17544" w14:textId="77777777" w:rsidR="00153D2C" w:rsidRPr="005D7D16" w:rsidRDefault="001D67F3" w:rsidP="005D7D16">
      <w:pPr>
        <w:spacing w:after="0" w:line="360" w:lineRule="auto"/>
        <w:ind w:left="720" w:hanging="720"/>
        <w:rPr>
          <w:rFonts w:ascii="Times New Roman" w:hAnsi="Times New Roman" w:cs="Times New Roman"/>
          <w:sz w:val="24"/>
          <w:szCs w:val="24"/>
          <w:shd w:val="clear" w:color="auto" w:fill="FFFFFF"/>
        </w:rPr>
      </w:pPr>
      <w:r w:rsidRPr="005D7D16">
        <w:rPr>
          <w:rFonts w:ascii="Times New Roman" w:hAnsi="Times New Roman" w:cs="Times New Roman"/>
          <w:sz w:val="24"/>
          <w:szCs w:val="24"/>
          <w:shd w:val="clear" w:color="auto" w:fill="FFFFFF"/>
        </w:rPr>
        <w:t>Kazmierski, Vincent. "How Much" Law" in Legal Studies? Approaches to Teaching Legal Research and Doctrinal Analys</w:t>
      </w:r>
      <w:r w:rsidRPr="005D7D16">
        <w:rPr>
          <w:rFonts w:ascii="Times New Roman" w:hAnsi="Times New Roman" w:cs="Times New Roman"/>
          <w:sz w:val="24"/>
          <w:szCs w:val="24"/>
          <w:shd w:val="clear" w:color="auto" w:fill="FFFFFF"/>
        </w:rPr>
        <w:t>is in a Legal Studies Program." </w:t>
      </w:r>
      <w:r w:rsidRPr="005D7D16">
        <w:rPr>
          <w:rFonts w:ascii="Times New Roman" w:hAnsi="Times New Roman" w:cs="Times New Roman"/>
          <w:i/>
          <w:iCs/>
          <w:sz w:val="24"/>
          <w:szCs w:val="24"/>
          <w:shd w:val="clear" w:color="auto" w:fill="FFFFFF"/>
        </w:rPr>
        <w:t>Canadian Journal of Law and Society</w:t>
      </w:r>
      <w:r w:rsidRPr="005D7D16">
        <w:rPr>
          <w:rFonts w:ascii="Times New Roman" w:hAnsi="Times New Roman" w:cs="Times New Roman"/>
          <w:sz w:val="24"/>
          <w:szCs w:val="24"/>
          <w:shd w:val="clear" w:color="auto" w:fill="FFFFFF"/>
        </w:rPr>
        <w:t> 29.3 (2014): 297.</w:t>
      </w:r>
    </w:p>
    <w:p w14:paraId="4900EA4C" w14:textId="77777777" w:rsidR="005D7D16" w:rsidRPr="005D7D16" w:rsidRDefault="005D7D16" w:rsidP="005D7D16">
      <w:pPr>
        <w:spacing w:after="0" w:line="360" w:lineRule="auto"/>
        <w:ind w:left="720" w:hanging="720"/>
        <w:rPr>
          <w:rFonts w:ascii="Times New Roman" w:hAnsi="Times New Roman" w:cs="Times New Roman"/>
          <w:sz w:val="24"/>
          <w:szCs w:val="24"/>
          <w:shd w:val="clear" w:color="auto" w:fill="FFFFFF"/>
        </w:rPr>
      </w:pPr>
    </w:p>
    <w:sectPr w:rsidR="005D7D16" w:rsidRPr="005D7D16" w:rsidSect="00153D2C">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D9B49" w14:textId="77777777" w:rsidR="001D67F3" w:rsidRDefault="001D67F3">
      <w:pPr>
        <w:spacing w:after="0" w:line="240" w:lineRule="auto"/>
      </w:pPr>
      <w:r>
        <w:separator/>
      </w:r>
    </w:p>
  </w:endnote>
  <w:endnote w:type="continuationSeparator" w:id="0">
    <w:p w14:paraId="0D048073" w14:textId="77777777" w:rsidR="001D67F3" w:rsidRDefault="001D6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01A3D" w14:textId="77777777" w:rsidR="001D67F3" w:rsidRDefault="001D67F3">
      <w:pPr>
        <w:spacing w:after="0" w:line="240" w:lineRule="auto"/>
      </w:pPr>
      <w:r>
        <w:separator/>
      </w:r>
    </w:p>
  </w:footnote>
  <w:footnote w:type="continuationSeparator" w:id="0">
    <w:p w14:paraId="2C0F1F1A" w14:textId="77777777" w:rsidR="001D67F3" w:rsidRDefault="001D6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900188"/>
      <w:docPartObj>
        <w:docPartGallery w:val="Page Numbers (Top of Page)"/>
        <w:docPartUnique/>
      </w:docPartObj>
    </w:sdtPr>
    <w:sdtEndPr>
      <w:rPr>
        <w:noProof/>
      </w:rPr>
    </w:sdtEndPr>
    <w:sdtContent>
      <w:p w14:paraId="44D7BCA8" w14:textId="1979B403" w:rsidR="00153D2C" w:rsidRDefault="001D67F3" w:rsidP="00153D2C">
        <w:pPr>
          <w:pStyle w:val="Header"/>
          <w:ind w:left="6840" w:firstLine="2520"/>
        </w:pPr>
        <w:r>
          <w:fldChar w:fldCharType="begin"/>
        </w:r>
        <w:r>
          <w:instrText xml:space="preserve"> PAGE   \* MERGEFORMAT </w:instrText>
        </w:r>
        <w:r>
          <w:fldChar w:fldCharType="separate"/>
        </w:r>
        <w:r>
          <w:rPr>
            <w:noProof/>
          </w:rPr>
          <w:t>2</w:t>
        </w:r>
        <w:r>
          <w:rPr>
            <w:noProof/>
          </w:rPr>
          <w:fldChar w:fldCharType="end"/>
        </w:r>
      </w:p>
    </w:sdtContent>
  </w:sdt>
  <w:p w14:paraId="4FD895FA" w14:textId="77777777" w:rsidR="00153D2C" w:rsidRDefault="00153D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939BA" w14:textId="77777777" w:rsidR="00153D2C" w:rsidRDefault="00153D2C">
    <w:pPr>
      <w:pStyle w:val="Header"/>
      <w:jc w:val="right"/>
    </w:pPr>
  </w:p>
  <w:sdt>
    <w:sdtPr>
      <w:id w:val="-1146731854"/>
      <w:docPartObj>
        <w:docPartGallery w:val="Page Numbers (Top of Page)"/>
        <w:docPartUnique/>
      </w:docPartObj>
    </w:sdtPr>
    <w:sdtEndPr>
      <w:rPr>
        <w:noProof/>
      </w:rPr>
    </w:sdtEndPr>
    <w:sdtContent>
      <w:p w14:paraId="4C71DEB0" w14:textId="03E55637" w:rsidR="00153D2C" w:rsidRDefault="001D67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03D3B0" w14:textId="3A1ED8D9" w:rsidR="00FE1C82" w:rsidRDefault="00FE1C82" w:rsidP="00153D2C">
    <w:pPr>
      <w:pStyle w:val="Header"/>
      <w:tabs>
        <w:tab w:val="clear" w:pos="4680"/>
        <w:tab w:val="clear" w:pos="9360"/>
        <w:tab w:val="left" w:pos="35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E19DF"/>
    <w:multiLevelType w:val="hybridMultilevel"/>
    <w:tmpl w:val="EDB49ABE"/>
    <w:lvl w:ilvl="0" w:tplc="71A65006">
      <w:start w:val="1"/>
      <w:numFmt w:val="upperRoman"/>
      <w:lvlText w:val="%1."/>
      <w:lvlJc w:val="left"/>
      <w:pPr>
        <w:ind w:left="1080" w:hanging="720"/>
      </w:pPr>
      <w:rPr>
        <w:rFonts w:hint="default"/>
      </w:rPr>
    </w:lvl>
    <w:lvl w:ilvl="1" w:tplc="7B6A0E74" w:tentative="1">
      <w:start w:val="1"/>
      <w:numFmt w:val="lowerLetter"/>
      <w:lvlText w:val="%2."/>
      <w:lvlJc w:val="left"/>
      <w:pPr>
        <w:ind w:left="1440" w:hanging="360"/>
      </w:pPr>
    </w:lvl>
    <w:lvl w:ilvl="2" w:tplc="C44E571E" w:tentative="1">
      <w:start w:val="1"/>
      <w:numFmt w:val="lowerRoman"/>
      <w:lvlText w:val="%3."/>
      <w:lvlJc w:val="right"/>
      <w:pPr>
        <w:ind w:left="2160" w:hanging="180"/>
      </w:pPr>
    </w:lvl>
    <w:lvl w:ilvl="3" w:tplc="82C8D54A" w:tentative="1">
      <w:start w:val="1"/>
      <w:numFmt w:val="decimal"/>
      <w:lvlText w:val="%4."/>
      <w:lvlJc w:val="left"/>
      <w:pPr>
        <w:ind w:left="2880" w:hanging="360"/>
      </w:pPr>
    </w:lvl>
    <w:lvl w:ilvl="4" w:tplc="26F28A5C" w:tentative="1">
      <w:start w:val="1"/>
      <w:numFmt w:val="lowerLetter"/>
      <w:lvlText w:val="%5."/>
      <w:lvlJc w:val="left"/>
      <w:pPr>
        <w:ind w:left="3600" w:hanging="360"/>
      </w:pPr>
    </w:lvl>
    <w:lvl w:ilvl="5" w:tplc="542697C4" w:tentative="1">
      <w:start w:val="1"/>
      <w:numFmt w:val="lowerRoman"/>
      <w:lvlText w:val="%6."/>
      <w:lvlJc w:val="right"/>
      <w:pPr>
        <w:ind w:left="4320" w:hanging="180"/>
      </w:pPr>
    </w:lvl>
    <w:lvl w:ilvl="6" w:tplc="C0F8718E" w:tentative="1">
      <w:start w:val="1"/>
      <w:numFmt w:val="decimal"/>
      <w:lvlText w:val="%7."/>
      <w:lvlJc w:val="left"/>
      <w:pPr>
        <w:ind w:left="5040" w:hanging="360"/>
      </w:pPr>
    </w:lvl>
    <w:lvl w:ilvl="7" w:tplc="B180FC5A" w:tentative="1">
      <w:start w:val="1"/>
      <w:numFmt w:val="lowerLetter"/>
      <w:lvlText w:val="%8."/>
      <w:lvlJc w:val="left"/>
      <w:pPr>
        <w:ind w:left="5760" w:hanging="360"/>
      </w:pPr>
    </w:lvl>
    <w:lvl w:ilvl="8" w:tplc="B696229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F3"/>
    <w:rsid w:val="00021976"/>
    <w:rsid w:val="000221C2"/>
    <w:rsid w:val="00074DC3"/>
    <w:rsid w:val="00124ECC"/>
    <w:rsid w:val="001258E6"/>
    <w:rsid w:val="00153D2C"/>
    <w:rsid w:val="001D67F3"/>
    <w:rsid w:val="0047136D"/>
    <w:rsid w:val="00484A7A"/>
    <w:rsid w:val="004A21F3"/>
    <w:rsid w:val="004F4616"/>
    <w:rsid w:val="005D7D16"/>
    <w:rsid w:val="006402D7"/>
    <w:rsid w:val="0067701F"/>
    <w:rsid w:val="006871B3"/>
    <w:rsid w:val="00910935"/>
    <w:rsid w:val="00921162"/>
    <w:rsid w:val="00943FCF"/>
    <w:rsid w:val="00947081"/>
    <w:rsid w:val="00A85E33"/>
    <w:rsid w:val="00AC677B"/>
    <w:rsid w:val="00B3261A"/>
    <w:rsid w:val="00B4422B"/>
    <w:rsid w:val="00BD69A8"/>
    <w:rsid w:val="00C073F1"/>
    <w:rsid w:val="00C44870"/>
    <w:rsid w:val="00D40077"/>
    <w:rsid w:val="00D436B7"/>
    <w:rsid w:val="00D65172"/>
    <w:rsid w:val="00DA5730"/>
    <w:rsid w:val="00E63A8B"/>
    <w:rsid w:val="00EF150D"/>
    <w:rsid w:val="00FE1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2993"/>
  <w15:chartTrackingRefBased/>
  <w15:docId w15:val="{8AA8F7C2-EE9C-4CB8-A8D8-4DCB6DFE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1F3"/>
  </w:style>
  <w:style w:type="paragraph" w:styleId="Footer">
    <w:name w:val="footer"/>
    <w:basedOn w:val="Normal"/>
    <w:link w:val="FooterChar"/>
    <w:uiPriority w:val="99"/>
    <w:unhideWhenUsed/>
    <w:rsid w:val="004A2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1F3"/>
  </w:style>
  <w:style w:type="paragraph" w:styleId="ListParagraph">
    <w:name w:val="List Paragraph"/>
    <w:basedOn w:val="Normal"/>
    <w:uiPriority w:val="34"/>
    <w:qFormat/>
    <w:rsid w:val="004A21F3"/>
    <w:pPr>
      <w:ind w:left="720"/>
      <w:contextualSpacing/>
    </w:pPr>
  </w:style>
  <w:style w:type="paragraph" w:customStyle="1" w:styleId="p">
    <w:name w:val="p"/>
    <w:basedOn w:val="Normal"/>
    <w:rsid w:val="00AC67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AC677B"/>
  </w:style>
  <w:style w:type="character" w:customStyle="1" w:styleId="collab">
    <w:name w:val="collab"/>
    <w:basedOn w:val="DefaultParagraphFont"/>
    <w:rsid w:val="00AC677B"/>
  </w:style>
  <w:style w:type="character" w:customStyle="1" w:styleId="source">
    <w:name w:val="source"/>
    <w:basedOn w:val="DefaultParagraphFont"/>
    <w:rsid w:val="00AC677B"/>
  </w:style>
  <w:style w:type="character" w:customStyle="1" w:styleId="publisher-loc">
    <w:name w:val="publisher-loc"/>
    <w:basedOn w:val="DefaultParagraphFont"/>
    <w:rsid w:val="00AC677B"/>
  </w:style>
  <w:style w:type="character" w:customStyle="1" w:styleId="publisher-name">
    <w:name w:val="publisher-name"/>
    <w:basedOn w:val="DefaultParagraphFont"/>
    <w:rsid w:val="00AC677B"/>
  </w:style>
  <w:style w:type="character" w:customStyle="1" w:styleId="year">
    <w:name w:val="year"/>
    <w:basedOn w:val="DefaultParagraphFont"/>
    <w:rsid w:val="00AC677B"/>
  </w:style>
  <w:style w:type="character" w:customStyle="1" w:styleId="comment">
    <w:name w:val="comment"/>
    <w:basedOn w:val="DefaultParagraphFont"/>
    <w:rsid w:val="00AC677B"/>
  </w:style>
  <w:style w:type="character" w:styleId="Emphasis">
    <w:name w:val="Emphasis"/>
    <w:basedOn w:val="DefaultParagraphFont"/>
    <w:uiPriority w:val="20"/>
    <w:qFormat/>
    <w:rsid w:val="00AC677B"/>
    <w:rPr>
      <w:i/>
      <w:iCs/>
    </w:rPr>
  </w:style>
  <w:style w:type="character" w:customStyle="1" w:styleId="name">
    <w:name w:val="name"/>
    <w:basedOn w:val="DefaultParagraphFont"/>
    <w:rsid w:val="00AC677B"/>
  </w:style>
  <w:style w:type="character" w:customStyle="1" w:styleId="surname">
    <w:name w:val="surname"/>
    <w:basedOn w:val="DefaultParagraphFont"/>
    <w:rsid w:val="00AC677B"/>
  </w:style>
  <w:style w:type="character" w:customStyle="1" w:styleId="given-names">
    <w:name w:val="given-names"/>
    <w:basedOn w:val="DefaultParagraphFont"/>
    <w:rsid w:val="00AC677B"/>
  </w:style>
  <w:style w:type="character" w:customStyle="1" w:styleId="article-title">
    <w:name w:val="article-title"/>
    <w:basedOn w:val="DefaultParagraphFont"/>
    <w:rsid w:val="00AC677B"/>
  </w:style>
  <w:style w:type="character" w:customStyle="1" w:styleId="volume">
    <w:name w:val="volume"/>
    <w:basedOn w:val="DefaultParagraphFont"/>
    <w:rsid w:val="00AC677B"/>
  </w:style>
  <w:style w:type="character" w:customStyle="1" w:styleId="fpage">
    <w:name w:val="fpage"/>
    <w:basedOn w:val="DefaultParagraphFont"/>
    <w:rsid w:val="00AC677B"/>
  </w:style>
  <w:style w:type="character" w:customStyle="1" w:styleId="lpage">
    <w:name w:val="lpage"/>
    <w:basedOn w:val="DefaultParagraphFont"/>
    <w:rsid w:val="00AC677B"/>
  </w:style>
  <w:style w:type="character" w:styleId="Hyperlink">
    <w:name w:val="Hyperlink"/>
    <w:basedOn w:val="DefaultParagraphFont"/>
    <w:uiPriority w:val="99"/>
    <w:semiHidden/>
    <w:unhideWhenUsed/>
    <w:rsid w:val="00AC67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brammtedd@outlook.com</dc:creator>
  <cp:lastModifiedBy>David Mua</cp:lastModifiedBy>
  <cp:revision>2</cp:revision>
  <dcterms:created xsi:type="dcterms:W3CDTF">2021-10-15T22:37:00Z</dcterms:created>
  <dcterms:modified xsi:type="dcterms:W3CDTF">2021-10-15T22:37:00Z</dcterms:modified>
</cp:coreProperties>
</file>